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74" w:rsidRPr="00D22A74" w:rsidRDefault="00D22A74" w:rsidP="00327EDA">
      <w:pPr>
        <w:widowControl/>
        <w:shd w:val="clear" w:color="auto" w:fill="FFFFFF"/>
        <w:spacing w:before="100" w:beforeAutospacing="1" w:after="100" w:afterAutospacing="1"/>
        <w:jc w:val="left"/>
        <w:outlineLvl w:val="2"/>
        <w:rPr>
          <w:rFonts w:ascii="ＭＳ ゴシック" w:eastAsia="ＭＳ ゴシック" w:hAnsi="ＭＳ ゴシック" w:cs="Arial"/>
          <w:b/>
          <w:bCs/>
          <w:color w:val="333333"/>
          <w:spacing w:val="12"/>
          <w:kern w:val="0"/>
          <w:sz w:val="28"/>
          <w:szCs w:val="28"/>
        </w:rPr>
      </w:pPr>
      <w:r w:rsidRPr="00D22A74">
        <w:rPr>
          <w:rFonts w:ascii="ＭＳ ゴシック" w:eastAsia="ＭＳ ゴシック" w:hAnsi="ＭＳ ゴシック" w:cs="Arial"/>
          <w:b/>
          <w:color w:val="333333"/>
          <w:sz w:val="28"/>
          <w:szCs w:val="28"/>
        </w:rPr>
        <w:t>2021年公布の特定商取引法改正における主要な改正点</w:t>
      </w:r>
    </w:p>
    <w:p w:rsidR="00327EDA" w:rsidRPr="00327EDA" w:rsidRDefault="00327EDA" w:rsidP="00D22A74">
      <w:pPr>
        <w:widowControl/>
        <w:shd w:val="clear" w:color="auto" w:fill="FFFFFF"/>
        <w:spacing w:before="100" w:beforeAutospacing="1"/>
        <w:jc w:val="left"/>
        <w:outlineLvl w:val="2"/>
        <w:rPr>
          <w:rFonts w:ascii="ＭＳ ゴシック" w:eastAsia="ＭＳ ゴシック" w:hAnsi="ＭＳ ゴシック" w:cs="Arial"/>
          <w:b/>
          <w:bCs/>
          <w:color w:val="333333"/>
          <w:spacing w:val="12"/>
          <w:kern w:val="0"/>
          <w:sz w:val="24"/>
          <w:szCs w:val="24"/>
        </w:rPr>
      </w:pPr>
      <w:r w:rsidRPr="00327EDA">
        <w:rPr>
          <w:rFonts w:ascii="ＭＳ ゴシック" w:eastAsia="ＭＳ ゴシック" w:hAnsi="ＭＳ ゴシック" w:cs="Arial"/>
          <w:b/>
          <w:bCs/>
          <w:color w:val="333333"/>
          <w:spacing w:val="12"/>
          <w:kern w:val="0"/>
          <w:sz w:val="24"/>
          <w:szCs w:val="24"/>
          <w:bdr w:val="single" w:sz="4" w:space="0" w:color="auto"/>
        </w:rPr>
        <w:t>公布日・施行日</w:t>
      </w:r>
    </w:p>
    <w:p w:rsidR="00327EDA" w:rsidRPr="00327EDA" w:rsidRDefault="00327EDA" w:rsidP="00327EDA">
      <w:pPr>
        <w:widowControl/>
        <w:shd w:val="clear" w:color="auto" w:fill="FFFFFF"/>
        <w:jc w:val="left"/>
        <w:rPr>
          <w:rFonts w:ascii="ＭＳ ゴシック" w:eastAsia="ＭＳ ゴシック" w:hAnsi="ＭＳ ゴシック" w:cs="Arial"/>
          <w:color w:val="333333"/>
          <w:kern w:val="0"/>
          <w:sz w:val="20"/>
          <w:szCs w:val="20"/>
        </w:rPr>
      </w:pPr>
      <w:r w:rsidRPr="00327EDA">
        <w:rPr>
          <w:rFonts w:ascii="ＭＳ ゴシック" w:eastAsia="ＭＳ ゴシック" w:hAnsi="ＭＳ ゴシック" w:cs="Arial"/>
          <w:color w:val="333333"/>
          <w:kern w:val="0"/>
          <w:sz w:val="20"/>
          <w:szCs w:val="20"/>
        </w:rPr>
        <w:t>2021年特定商取引法改正の根拠となる法令は、「消費者被害の防</w:t>
      </w:r>
      <w:r w:rsidRPr="00327EDA">
        <w:rPr>
          <w:rFonts w:ascii="Microsoft JhengHei" w:eastAsia="Microsoft JhengHei" w:hAnsi="Microsoft JhengHei" w:cs="Microsoft JhengHei" w:hint="eastAsia"/>
          <w:color w:val="333333"/>
          <w:kern w:val="0"/>
          <w:sz w:val="20"/>
          <w:szCs w:val="20"/>
        </w:rPr>
        <w:t>⽌</w:t>
      </w:r>
      <w:r w:rsidRPr="00327EDA">
        <w:rPr>
          <w:rFonts w:ascii="ＭＳ ゴシック" w:eastAsia="ＭＳ ゴシック" w:hAnsi="ＭＳ ゴシック" w:cs="ＭＳ Ｐゴシック" w:hint="eastAsia"/>
          <w:color w:val="333333"/>
          <w:kern w:val="0"/>
          <w:sz w:val="20"/>
          <w:szCs w:val="20"/>
        </w:rPr>
        <w:t>及びその回復の促進を図るための特定商取引に関する法律等の</w:t>
      </w:r>
      <w:r w:rsidRPr="00327EDA">
        <w:rPr>
          <w:rFonts w:ascii="Microsoft JhengHei" w:eastAsia="Microsoft JhengHei" w:hAnsi="Microsoft JhengHei" w:cs="Microsoft JhengHei" w:hint="eastAsia"/>
          <w:color w:val="333333"/>
          <w:kern w:val="0"/>
          <w:sz w:val="20"/>
          <w:szCs w:val="20"/>
        </w:rPr>
        <w:t>⼀</w:t>
      </w:r>
      <w:r w:rsidRPr="00327EDA">
        <w:rPr>
          <w:rFonts w:ascii="ＭＳ ゴシック" w:eastAsia="ＭＳ ゴシック" w:hAnsi="ＭＳ ゴシック" w:cs="ＭＳ Ｐゴシック" w:hint="eastAsia"/>
          <w:color w:val="333333"/>
          <w:kern w:val="0"/>
          <w:sz w:val="20"/>
          <w:szCs w:val="20"/>
        </w:rPr>
        <w:t>部を改正する法律」（令和</w:t>
      </w:r>
      <w:r w:rsidRPr="00327EDA">
        <w:rPr>
          <w:rFonts w:ascii="ＭＳ ゴシック" w:eastAsia="ＭＳ ゴシック" w:hAnsi="ＭＳ ゴシック" w:cs="Arial"/>
          <w:color w:val="333333"/>
          <w:kern w:val="0"/>
          <w:sz w:val="20"/>
          <w:szCs w:val="20"/>
        </w:rPr>
        <w:t>3年法律第72号）です。</w:t>
      </w:r>
    </w:p>
    <w:p w:rsidR="00327EDA" w:rsidRPr="00327EDA" w:rsidRDefault="00327EDA" w:rsidP="00327EDA">
      <w:pPr>
        <w:widowControl/>
        <w:shd w:val="clear" w:color="auto" w:fill="FFFFFF"/>
        <w:jc w:val="left"/>
        <w:rPr>
          <w:rFonts w:ascii="ＭＳ ゴシック" w:eastAsia="ＭＳ ゴシック" w:hAnsi="ＭＳ ゴシック" w:cs="Arial"/>
          <w:color w:val="333333"/>
          <w:kern w:val="0"/>
          <w:sz w:val="20"/>
          <w:szCs w:val="20"/>
        </w:rPr>
      </w:pPr>
      <w:r w:rsidRPr="00327EDA">
        <w:rPr>
          <w:rFonts w:ascii="ＭＳ ゴシック" w:eastAsia="ＭＳ ゴシック" w:hAnsi="ＭＳ ゴシック" w:cs="Arial"/>
          <w:color w:val="333333"/>
          <w:kern w:val="0"/>
          <w:sz w:val="20"/>
          <w:szCs w:val="20"/>
        </w:rPr>
        <w:t>施行日は、改正点によって異なるため、注意する必要があります。</w:t>
      </w:r>
    </w:p>
    <w:p w:rsidR="00327EDA" w:rsidRPr="00327EDA" w:rsidRDefault="00327EDA" w:rsidP="00327EDA">
      <w:pPr>
        <w:widowControl/>
        <w:shd w:val="clear" w:color="auto" w:fill="FFFFFF"/>
        <w:jc w:val="left"/>
        <w:rPr>
          <w:rFonts w:ascii="ＭＳ ゴシック" w:eastAsia="ＭＳ ゴシック" w:hAnsi="ＭＳ ゴシック" w:cs="Arial"/>
          <w:color w:val="333333"/>
          <w:kern w:val="0"/>
          <w:sz w:val="20"/>
          <w:szCs w:val="20"/>
        </w:rPr>
      </w:pPr>
      <w:r w:rsidRPr="00327EDA">
        <w:rPr>
          <w:rFonts w:ascii="ＭＳ ゴシック" w:eastAsia="ＭＳ ゴシック" w:hAnsi="ＭＳ ゴシック" w:cs="Arial"/>
          <w:color w:val="333333"/>
          <w:kern w:val="0"/>
          <w:sz w:val="20"/>
          <w:szCs w:val="20"/>
        </w:rPr>
        <w:t>本記事執筆（2022年3月）時点における、主な改正点の概要と施行日をまとめると次のとおりとなります（下記表中の条文の記載は全て改正後のものです。）。</w:t>
      </w:r>
    </w:p>
    <w:p w:rsidR="00327EDA" w:rsidRDefault="00327EDA"/>
    <w:tbl>
      <w:tblPr>
        <w:tblW w:w="5000" w:type="pct"/>
        <w:tblCellMar>
          <w:top w:w="15" w:type="dxa"/>
          <w:left w:w="15" w:type="dxa"/>
          <w:bottom w:w="15" w:type="dxa"/>
          <w:right w:w="15" w:type="dxa"/>
        </w:tblCellMar>
        <w:tblLook w:val="04A0" w:firstRow="1" w:lastRow="0" w:firstColumn="1" w:lastColumn="0" w:noHBand="0" w:noVBand="1"/>
      </w:tblPr>
      <w:tblGrid>
        <w:gridCol w:w="632"/>
        <w:gridCol w:w="5882"/>
        <w:gridCol w:w="1974"/>
      </w:tblGrid>
      <w:tr w:rsidR="00327EDA" w:rsidRPr="00327EDA" w:rsidTr="00D22A74">
        <w:tc>
          <w:tcPr>
            <w:tcW w:w="3837" w:type="pct"/>
            <w:gridSpan w:val="2"/>
            <w:tcBorders>
              <w:top w:val="single" w:sz="6" w:space="0" w:color="928FBD"/>
              <w:left w:val="single" w:sz="6" w:space="0" w:color="928FBD"/>
              <w:bottom w:val="single" w:sz="6" w:space="0" w:color="928FBD"/>
              <w:right w:val="single" w:sz="6" w:space="0" w:color="928FBD"/>
            </w:tcBorders>
            <w:shd w:val="clear" w:color="auto" w:fill="635EA1"/>
            <w:tcMar>
              <w:top w:w="180" w:type="dxa"/>
              <w:left w:w="180" w:type="dxa"/>
              <w:bottom w:w="180" w:type="dxa"/>
              <w:right w:w="180" w:type="dxa"/>
            </w:tcMar>
            <w:vAlign w:val="center"/>
            <w:hideMark/>
          </w:tcPr>
          <w:p w:rsidR="00327EDA" w:rsidRPr="00327EDA" w:rsidRDefault="00327EDA" w:rsidP="00327EDA">
            <w:pPr>
              <w:widowControl/>
              <w:jc w:val="center"/>
              <w:rPr>
                <w:rFonts w:ascii="Noto Sans JP" w:eastAsia="ＭＳ Ｐゴシック" w:hAnsi="Noto Sans JP" w:cs="ＭＳ Ｐゴシック"/>
                <w:b/>
                <w:bCs/>
                <w:color w:val="FFFFFF"/>
                <w:kern w:val="0"/>
                <w:sz w:val="27"/>
                <w:szCs w:val="27"/>
              </w:rPr>
            </w:pPr>
            <w:r w:rsidRPr="00327EDA">
              <w:rPr>
                <w:rFonts w:ascii="Noto Sans JP" w:eastAsia="ＭＳ Ｐゴシック" w:hAnsi="Noto Sans JP" w:cs="ＭＳ Ｐゴシック"/>
                <w:b/>
                <w:bCs/>
                <w:color w:val="FFFFFF"/>
                <w:kern w:val="0"/>
                <w:sz w:val="27"/>
                <w:szCs w:val="27"/>
              </w:rPr>
              <w:t>概要</w:t>
            </w:r>
          </w:p>
        </w:tc>
        <w:tc>
          <w:tcPr>
            <w:tcW w:w="1163" w:type="pct"/>
            <w:tcBorders>
              <w:top w:val="single" w:sz="6" w:space="0" w:color="928FBD"/>
              <w:left w:val="single" w:sz="6" w:space="0" w:color="928FBD"/>
              <w:bottom w:val="single" w:sz="6" w:space="0" w:color="928FBD"/>
              <w:right w:val="single" w:sz="6" w:space="0" w:color="928FBD"/>
            </w:tcBorders>
            <w:shd w:val="clear" w:color="auto" w:fill="635EA1"/>
            <w:tcMar>
              <w:top w:w="180" w:type="dxa"/>
              <w:left w:w="180" w:type="dxa"/>
              <w:bottom w:w="180" w:type="dxa"/>
              <w:right w:w="180" w:type="dxa"/>
            </w:tcMar>
            <w:vAlign w:val="center"/>
            <w:hideMark/>
          </w:tcPr>
          <w:p w:rsidR="00327EDA" w:rsidRPr="00327EDA" w:rsidRDefault="00327EDA" w:rsidP="00327EDA">
            <w:pPr>
              <w:widowControl/>
              <w:jc w:val="center"/>
              <w:rPr>
                <w:rFonts w:ascii="Noto Sans JP" w:eastAsia="ＭＳ Ｐゴシック" w:hAnsi="Noto Sans JP" w:cs="ＭＳ Ｐゴシック"/>
                <w:b/>
                <w:bCs/>
                <w:color w:val="FFFFFF"/>
                <w:kern w:val="0"/>
                <w:sz w:val="27"/>
                <w:szCs w:val="27"/>
              </w:rPr>
            </w:pPr>
            <w:r w:rsidRPr="00327EDA">
              <w:rPr>
                <w:rFonts w:ascii="Noto Sans JP" w:eastAsia="ＭＳ Ｐゴシック" w:hAnsi="Noto Sans JP" w:cs="ＭＳ Ｐゴシック"/>
                <w:b/>
                <w:bCs/>
                <w:color w:val="FFFFFF"/>
                <w:kern w:val="0"/>
                <w:sz w:val="27"/>
                <w:szCs w:val="27"/>
              </w:rPr>
              <w:t>施行日</w:t>
            </w:r>
          </w:p>
        </w:tc>
      </w:tr>
      <w:tr w:rsidR="00327EDA"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t>1</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u w:val="single"/>
              </w:rPr>
              <w:t>送り付け商法対策</w:t>
            </w:r>
            <w:r w:rsidRPr="00327EDA">
              <w:rPr>
                <w:rFonts w:ascii="ＭＳ ゴシック" w:eastAsia="ＭＳ ゴシック" w:hAnsi="ＭＳ ゴシック" w:cs="ＭＳ Ｐゴシック"/>
                <w:color w:val="333333"/>
                <w:kern w:val="0"/>
                <w:sz w:val="20"/>
                <w:szCs w:val="20"/>
              </w:rPr>
              <w:br/>
              <w:t>これまで消費者に14日間の保管義務があったところを、商品の送付を受けたら直ちに処分することができるようになりました（59条、59条の2）。</w:t>
            </w:r>
          </w:p>
        </w:tc>
        <w:tc>
          <w:tcPr>
            <w:tcW w:w="1163"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327EDA">
              <w:rPr>
                <w:rFonts w:ascii="ＭＳ ゴシック" w:eastAsia="ＭＳ ゴシック" w:hAnsi="ＭＳ ゴシック" w:cs="ＭＳ Ｐゴシック"/>
                <w:color w:val="333333"/>
                <w:kern w:val="0"/>
                <w:sz w:val="20"/>
                <w:szCs w:val="20"/>
              </w:rPr>
              <w:t>2021年7月6日</w:t>
            </w:r>
            <w:r w:rsidRPr="00D22A74">
              <w:rPr>
                <w:rFonts w:ascii="ＭＳ ゴシック" w:eastAsia="ＭＳ ゴシック" w:hAnsi="ＭＳ ゴシック" w:cs="ＭＳ Ｐゴシック" w:hint="eastAsia"/>
                <w:color w:val="333333"/>
                <w:kern w:val="0"/>
                <w:sz w:val="20"/>
                <w:szCs w:val="20"/>
              </w:rPr>
              <w:t>(</w:t>
            </w:r>
            <w:r w:rsidRPr="00327EDA">
              <w:rPr>
                <w:rFonts w:ascii="ＭＳ ゴシック" w:eastAsia="ＭＳ ゴシック" w:hAnsi="ＭＳ ゴシック" w:cs="ＭＳ Ｐゴシック"/>
                <w:color w:val="333333"/>
                <w:kern w:val="0"/>
                <w:sz w:val="20"/>
                <w:szCs w:val="20"/>
              </w:rPr>
              <w:t>施行済</w:t>
            </w:r>
            <w:r w:rsidRPr="00D22A74">
              <w:rPr>
                <w:rFonts w:ascii="ＭＳ ゴシック" w:eastAsia="ＭＳ ゴシック" w:hAnsi="ＭＳ ゴシック" w:cs="ＭＳ Ｐゴシック" w:hint="eastAsia"/>
                <w:color w:val="333333"/>
                <w:kern w:val="0"/>
                <w:sz w:val="20"/>
                <w:szCs w:val="20"/>
              </w:rPr>
              <w:t>み)</w:t>
            </w:r>
          </w:p>
        </w:tc>
      </w:tr>
      <w:tr w:rsidR="00327EDA"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t>2</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highlight w:val="yellow"/>
                <w:u w:val="single"/>
              </w:rPr>
              <w:t>クーリング・オフの通知の電子化</w:t>
            </w:r>
            <w:r w:rsidRPr="00327EDA">
              <w:rPr>
                <w:rFonts w:ascii="ＭＳ ゴシック" w:eastAsia="ＭＳ ゴシック" w:hAnsi="ＭＳ ゴシック" w:cs="ＭＳ Ｐゴシック"/>
                <w:color w:val="333333"/>
                <w:kern w:val="0"/>
                <w:sz w:val="20"/>
                <w:szCs w:val="20"/>
                <w:highlight w:val="yellow"/>
              </w:rPr>
              <w:br/>
              <w:t>これまでクーリング・オフの通知は書面によることが必要でしたが、本改正によりこの通知が電子メール等の電磁的方法によることが可能になりました（9条1項、2項等）</w:t>
            </w:r>
            <w:r w:rsidRPr="00327EDA">
              <w:rPr>
                <w:rFonts w:ascii="ＭＳ ゴシック" w:eastAsia="ＭＳ ゴシック" w:hAnsi="ＭＳ ゴシック" w:cs="ＭＳ Ｐゴシック"/>
                <w:color w:val="333333"/>
                <w:kern w:val="0"/>
                <w:sz w:val="20"/>
                <w:szCs w:val="20"/>
              </w:rPr>
              <w:t>。</w:t>
            </w:r>
          </w:p>
        </w:tc>
        <w:tc>
          <w:tcPr>
            <w:tcW w:w="1163" w:type="pct"/>
            <w:vMerge w:val="restar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327EDA">
              <w:rPr>
                <w:rFonts w:ascii="ＭＳ ゴシック" w:eastAsia="ＭＳ ゴシック" w:hAnsi="ＭＳ ゴシック" w:cs="ＭＳ Ｐゴシック"/>
                <w:color w:val="333333"/>
                <w:kern w:val="0"/>
                <w:sz w:val="20"/>
                <w:szCs w:val="20"/>
                <w:highlight w:val="yellow"/>
              </w:rPr>
              <w:t>2022年6月1日</w:t>
            </w:r>
            <w:bookmarkStart w:id="0" w:name="_GoBack"/>
            <w:bookmarkEnd w:id="0"/>
            <w:r w:rsidR="00D22A74">
              <w:rPr>
                <w:rFonts w:ascii="ＭＳ ゴシック" w:eastAsia="ＭＳ ゴシック" w:hAnsi="ＭＳ ゴシック" w:cs="ＭＳ Ｐゴシック"/>
                <w:color w:val="333333"/>
                <w:kern w:val="0"/>
                <w:sz w:val="20"/>
                <w:szCs w:val="20"/>
              </w:rPr>
              <w:t xml:space="preserve"> </w:t>
            </w:r>
          </w:p>
        </w:tc>
      </w:tr>
      <w:tr w:rsidR="00D22A74"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t>3</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u w:val="single"/>
              </w:rPr>
              <w:t>通信販売における規制強化</w:t>
            </w:r>
            <w:r w:rsidRPr="00327EDA">
              <w:rPr>
                <w:rFonts w:ascii="ＭＳ ゴシック" w:eastAsia="ＭＳ ゴシック" w:hAnsi="ＭＳ ゴシック" w:cs="ＭＳ Ｐゴシック"/>
                <w:color w:val="333333"/>
                <w:kern w:val="0"/>
                <w:sz w:val="20"/>
                <w:szCs w:val="20"/>
              </w:rPr>
              <w:br/>
              <w:t>法律で規定する広告表示事項が追加・拡大されました（11条）。また、誇大広告等の禁止（12条）の対象に、役務提供契約における申込みの撤回・解除に関する事項が含まれていませんでしたが、改正法ではこれを含むこととなりました。 そのほか、申込みの撤回・解除を妨げるための不実告知を禁止する旨が規定されました（13条の2）。 さらに、事業者が定める書式やウェブサイト等より売買契約・役務提供契約の申込みをする場合（特定申込み）における、その書面やウェブサイト等の表示義務が定められました（12条の6）。また、特定申込みをした者について、意思表示の取消権が新設されました（15条の4）。</w:t>
            </w:r>
          </w:p>
        </w:tc>
        <w:tc>
          <w:tcPr>
            <w:tcW w:w="1163" w:type="pct"/>
            <w:vMerge/>
            <w:tcBorders>
              <w:top w:val="single" w:sz="6" w:space="0" w:color="928FBD"/>
              <w:left w:val="single" w:sz="6" w:space="0" w:color="928FBD"/>
              <w:bottom w:val="single" w:sz="6" w:space="0" w:color="928FBD"/>
              <w:right w:val="single" w:sz="6" w:space="0" w:color="928FBD"/>
            </w:tcBorders>
            <w:vAlign w:val="center"/>
            <w:hideMark/>
          </w:tcPr>
          <w:p w:rsidR="00327EDA" w:rsidRPr="00327EDA" w:rsidRDefault="00327EDA" w:rsidP="00327EDA">
            <w:pPr>
              <w:widowControl/>
              <w:jc w:val="left"/>
              <w:rPr>
                <w:rFonts w:ascii="Noto Sans JP" w:eastAsia="ＭＳ Ｐゴシック" w:hAnsi="Noto Sans JP" w:cs="ＭＳ Ｐゴシック"/>
                <w:color w:val="333333"/>
                <w:kern w:val="0"/>
                <w:sz w:val="20"/>
                <w:szCs w:val="20"/>
              </w:rPr>
            </w:pPr>
          </w:p>
        </w:tc>
      </w:tr>
      <w:tr w:rsidR="00D22A74"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lastRenderedPageBreak/>
              <w:t>4</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u w:val="single"/>
              </w:rPr>
              <w:t>行政処分の強化</w:t>
            </w:r>
            <w:r w:rsidRPr="00327EDA">
              <w:rPr>
                <w:rFonts w:ascii="ＭＳ ゴシック" w:eastAsia="ＭＳ ゴシック" w:hAnsi="ＭＳ ゴシック" w:cs="ＭＳ Ｐゴシック"/>
                <w:color w:val="333333"/>
                <w:kern w:val="0"/>
                <w:sz w:val="20"/>
                <w:szCs w:val="20"/>
              </w:rPr>
              <w:br/>
              <w:t>立入検査権限の拡充、処分対象者の拡大といった、行政処分の実効性を強化する改正が行われました（8条の2、66条等）。</w:t>
            </w:r>
          </w:p>
        </w:tc>
        <w:tc>
          <w:tcPr>
            <w:tcW w:w="1163" w:type="pct"/>
            <w:vMerge/>
            <w:tcBorders>
              <w:top w:val="single" w:sz="6" w:space="0" w:color="928FBD"/>
              <w:left w:val="single" w:sz="6" w:space="0" w:color="928FBD"/>
              <w:bottom w:val="single" w:sz="6" w:space="0" w:color="928FBD"/>
              <w:right w:val="single" w:sz="6" w:space="0" w:color="928FBD"/>
            </w:tcBorders>
            <w:vAlign w:val="center"/>
            <w:hideMark/>
          </w:tcPr>
          <w:p w:rsidR="00327EDA" w:rsidRPr="00327EDA" w:rsidRDefault="00327EDA" w:rsidP="00327EDA">
            <w:pPr>
              <w:widowControl/>
              <w:jc w:val="left"/>
              <w:rPr>
                <w:rFonts w:ascii="Noto Sans JP" w:eastAsia="ＭＳ Ｐゴシック" w:hAnsi="Noto Sans JP" w:cs="ＭＳ Ｐゴシック"/>
                <w:color w:val="333333"/>
                <w:kern w:val="0"/>
                <w:sz w:val="20"/>
                <w:szCs w:val="20"/>
              </w:rPr>
            </w:pPr>
          </w:p>
        </w:tc>
      </w:tr>
      <w:tr w:rsidR="00D22A74"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t>5</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u w:val="single"/>
              </w:rPr>
              <w:t>海外執行当局への情報提供</w:t>
            </w:r>
            <w:r w:rsidRPr="00327EDA">
              <w:rPr>
                <w:rFonts w:ascii="ＭＳ ゴシック" w:eastAsia="ＭＳ ゴシック" w:hAnsi="ＭＳ ゴシック" w:cs="ＭＳ Ｐゴシック"/>
                <w:color w:val="333333"/>
                <w:kern w:val="0"/>
                <w:sz w:val="20"/>
                <w:szCs w:val="20"/>
              </w:rPr>
              <w:br/>
              <w:t>海外執行当局への情報提供の制度が新設されました（69条の3）。</w:t>
            </w:r>
          </w:p>
        </w:tc>
        <w:tc>
          <w:tcPr>
            <w:tcW w:w="1163" w:type="pct"/>
            <w:vMerge/>
            <w:tcBorders>
              <w:top w:val="single" w:sz="6" w:space="0" w:color="928FBD"/>
              <w:left w:val="single" w:sz="6" w:space="0" w:color="928FBD"/>
              <w:bottom w:val="single" w:sz="6" w:space="0" w:color="928FBD"/>
              <w:right w:val="single" w:sz="6" w:space="0" w:color="928FBD"/>
            </w:tcBorders>
            <w:vAlign w:val="cente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p>
        </w:tc>
      </w:tr>
      <w:tr w:rsidR="00327EDA" w:rsidRPr="00327EDA" w:rsidTr="00D22A74">
        <w:tc>
          <w:tcPr>
            <w:tcW w:w="372"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Cs w:val="21"/>
              </w:rPr>
            </w:pPr>
            <w:r w:rsidRPr="00327EDA">
              <w:rPr>
                <w:rFonts w:ascii="ＭＳ ゴシック" w:eastAsia="ＭＳ ゴシック" w:hAnsi="ＭＳ ゴシック" w:cs="ＭＳ Ｐゴシック"/>
                <w:color w:val="333333"/>
                <w:kern w:val="0"/>
                <w:szCs w:val="21"/>
              </w:rPr>
              <w:t>6</w:t>
            </w:r>
          </w:p>
        </w:tc>
        <w:tc>
          <w:tcPr>
            <w:tcW w:w="3465"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D22A74">
              <w:rPr>
                <w:rFonts w:ascii="ＭＳ ゴシック" w:eastAsia="ＭＳ ゴシック" w:hAnsi="ＭＳ ゴシック" w:cs="ＭＳ Ｐゴシック"/>
                <w:b/>
                <w:bCs/>
                <w:color w:val="333333"/>
                <w:kern w:val="0"/>
                <w:sz w:val="20"/>
                <w:szCs w:val="20"/>
                <w:highlight w:val="yellow"/>
                <w:u w:val="single"/>
              </w:rPr>
              <w:t>事業者が交付すべき契約書面等の電子化</w:t>
            </w:r>
            <w:r w:rsidRPr="00327EDA">
              <w:rPr>
                <w:rFonts w:ascii="ＭＳ ゴシック" w:eastAsia="ＭＳ ゴシック" w:hAnsi="ＭＳ ゴシック" w:cs="ＭＳ Ｐゴシック"/>
                <w:color w:val="333333"/>
                <w:kern w:val="0"/>
                <w:sz w:val="20"/>
                <w:szCs w:val="20"/>
                <w:highlight w:val="yellow"/>
              </w:rPr>
              <w:br/>
              <w:t>従来、事業者が消費者に対して書面にて交付すべきとされていたものについて、電磁的方法（電子メールの送付等）による交付も可能となります（4条2項、5条3項等）。</w:t>
            </w:r>
          </w:p>
        </w:tc>
        <w:tc>
          <w:tcPr>
            <w:tcW w:w="1163" w:type="pct"/>
            <w:tcBorders>
              <w:top w:val="single" w:sz="6" w:space="0" w:color="928FBD"/>
              <w:left w:val="single" w:sz="6" w:space="0" w:color="928FBD"/>
              <w:bottom w:val="single" w:sz="6" w:space="0" w:color="928FBD"/>
              <w:right w:val="single" w:sz="6" w:space="0" w:color="928FBD"/>
            </w:tcBorders>
            <w:shd w:val="clear" w:color="auto" w:fill="F6F6F9"/>
            <w:tcMar>
              <w:top w:w="270" w:type="dxa"/>
              <w:left w:w="180" w:type="dxa"/>
              <w:bottom w:w="270" w:type="dxa"/>
              <w:right w:w="180" w:type="dxa"/>
            </w:tcMar>
            <w:hideMark/>
          </w:tcPr>
          <w:p w:rsidR="00327EDA" w:rsidRPr="00327EDA" w:rsidRDefault="00327EDA" w:rsidP="00327EDA">
            <w:pPr>
              <w:widowControl/>
              <w:jc w:val="left"/>
              <w:rPr>
                <w:rFonts w:ascii="ＭＳ ゴシック" w:eastAsia="ＭＳ ゴシック" w:hAnsi="ＭＳ ゴシック" w:cs="ＭＳ Ｐゴシック"/>
                <w:color w:val="333333"/>
                <w:kern w:val="0"/>
                <w:sz w:val="20"/>
                <w:szCs w:val="20"/>
              </w:rPr>
            </w:pPr>
            <w:r w:rsidRPr="00327EDA">
              <w:rPr>
                <w:rFonts w:ascii="ＭＳ ゴシック" w:eastAsia="ＭＳ ゴシック" w:hAnsi="ＭＳ ゴシック" w:cs="ＭＳ Ｐゴシック"/>
                <w:color w:val="333333"/>
                <w:kern w:val="0"/>
                <w:sz w:val="20"/>
                <w:szCs w:val="20"/>
                <w:highlight w:val="yellow"/>
              </w:rPr>
              <w:t>未定 （2023年6月15日までの政令</w:t>
            </w:r>
            <w:r w:rsidRPr="00D22A74">
              <w:rPr>
                <w:rFonts w:ascii="ＭＳ ゴシック" w:eastAsia="ＭＳ ゴシック" w:hAnsi="ＭＳ ゴシック"/>
                <w:color w:val="333333"/>
                <w:sz w:val="20"/>
                <w:szCs w:val="20"/>
                <w:highlight w:val="yellow"/>
              </w:rPr>
              <w:t>で定める日）</w:t>
            </w:r>
          </w:p>
        </w:tc>
      </w:tr>
    </w:tbl>
    <w:p w:rsidR="00327EDA" w:rsidRPr="00327EDA" w:rsidRDefault="00327EDA">
      <w:pPr>
        <w:rPr>
          <w:rFonts w:hint="eastAsia"/>
        </w:rPr>
      </w:pPr>
    </w:p>
    <w:sectPr w:rsidR="00327EDA" w:rsidRPr="00327E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Noto Sans JP">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DA"/>
    <w:rsid w:val="00327EDA"/>
    <w:rsid w:val="00450A72"/>
    <w:rsid w:val="00D22A74"/>
    <w:rsid w:val="00D9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CF667"/>
  <w15:chartTrackingRefBased/>
  <w15:docId w15:val="{EC638CFF-3E94-46DA-9BBF-8645D3BF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327EDA"/>
    <w:pPr>
      <w:widowControl/>
      <w:spacing w:before="100" w:beforeAutospacing="1" w:after="100" w:afterAutospacing="1"/>
      <w:jc w:val="left"/>
      <w:outlineLvl w:val="2"/>
    </w:pPr>
    <w:rPr>
      <w:rFonts w:ascii="ＭＳ Ｐゴシック" w:eastAsia="ＭＳ Ｐゴシック" w:hAnsi="ＭＳ Ｐゴシック" w:cs="ＭＳ Ｐゴシック"/>
      <w:b/>
      <w:bCs/>
      <w:spacing w:val="12"/>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27EDA"/>
    <w:rPr>
      <w:rFonts w:ascii="ＭＳ Ｐゴシック" w:eastAsia="ＭＳ Ｐゴシック" w:hAnsi="ＭＳ Ｐゴシック" w:cs="ＭＳ Ｐゴシック"/>
      <w:b/>
      <w:bCs/>
      <w:spacing w:val="12"/>
      <w:kern w:val="0"/>
      <w:sz w:val="27"/>
      <w:szCs w:val="27"/>
    </w:rPr>
  </w:style>
  <w:style w:type="paragraph" w:customStyle="1" w:styleId="m20">
    <w:name w:val="m20"/>
    <w:basedOn w:val="a"/>
    <w:rsid w:val="00327EDA"/>
    <w:pPr>
      <w:widowControl/>
      <w:spacing w:after="300"/>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27EDA"/>
    <w:rPr>
      <w:b/>
      <w:bCs/>
    </w:rPr>
  </w:style>
  <w:style w:type="paragraph" w:styleId="a4">
    <w:name w:val="Balloon Text"/>
    <w:basedOn w:val="a"/>
    <w:link w:val="a5"/>
    <w:uiPriority w:val="99"/>
    <w:semiHidden/>
    <w:unhideWhenUsed/>
    <w:rsid w:val="00D97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9716">
      <w:bodyDiv w:val="1"/>
      <w:marLeft w:val="0"/>
      <w:marRight w:val="0"/>
      <w:marTop w:val="0"/>
      <w:marBottom w:val="0"/>
      <w:divBdr>
        <w:top w:val="none" w:sz="0" w:space="0" w:color="auto"/>
        <w:left w:val="none" w:sz="0" w:space="0" w:color="auto"/>
        <w:bottom w:val="none" w:sz="0" w:space="0" w:color="auto"/>
        <w:right w:val="none" w:sz="0" w:space="0" w:color="auto"/>
      </w:divBdr>
      <w:divsChild>
        <w:div w:id="426461353">
          <w:marLeft w:val="0"/>
          <w:marRight w:val="0"/>
          <w:marTop w:val="0"/>
          <w:marBottom w:val="0"/>
          <w:divBdr>
            <w:top w:val="none" w:sz="0" w:space="0" w:color="auto"/>
            <w:left w:val="none" w:sz="0" w:space="0" w:color="auto"/>
            <w:bottom w:val="none" w:sz="0" w:space="0" w:color="auto"/>
            <w:right w:val="none" w:sz="0" w:space="0" w:color="auto"/>
          </w:divBdr>
          <w:divsChild>
            <w:div w:id="55401072">
              <w:marLeft w:val="0"/>
              <w:marRight w:val="0"/>
              <w:marTop w:val="0"/>
              <w:marBottom w:val="0"/>
              <w:divBdr>
                <w:top w:val="none" w:sz="0" w:space="0" w:color="auto"/>
                <w:left w:val="none" w:sz="0" w:space="0" w:color="auto"/>
                <w:bottom w:val="none" w:sz="0" w:space="0" w:color="auto"/>
                <w:right w:val="none" w:sz="0" w:space="0" w:color="auto"/>
              </w:divBdr>
              <w:divsChild>
                <w:div w:id="17631199">
                  <w:marLeft w:val="0"/>
                  <w:marRight w:val="0"/>
                  <w:marTop w:val="0"/>
                  <w:marBottom w:val="0"/>
                  <w:divBdr>
                    <w:top w:val="none" w:sz="0" w:space="0" w:color="auto"/>
                    <w:left w:val="none" w:sz="0" w:space="0" w:color="auto"/>
                    <w:bottom w:val="none" w:sz="0" w:space="0" w:color="auto"/>
                    <w:right w:val="none" w:sz="0" w:space="0" w:color="auto"/>
                  </w:divBdr>
                  <w:divsChild>
                    <w:div w:id="1499812192">
                      <w:marLeft w:val="0"/>
                      <w:marRight w:val="0"/>
                      <w:marTop w:val="0"/>
                      <w:marBottom w:val="0"/>
                      <w:divBdr>
                        <w:top w:val="none" w:sz="0" w:space="0" w:color="auto"/>
                        <w:left w:val="none" w:sz="0" w:space="0" w:color="auto"/>
                        <w:bottom w:val="none" w:sz="0" w:space="0" w:color="auto"/>
                        <w:right w:val="none" w:sz="0" w:space="0" w:color="auto"/>
                      </w:divBdr>
                      <w:divsChild>
                        <w:div w:id="1030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95068">
      <w:bodyDiv w:val="1"/>
      <w:marLeft w:val="0"/>
      <w:marRight w:val="0"/>
      <w:marTop w:val="0"/>
      <w:marBottom w:val="0"/>
      <w:divBdr>
        <w:top w:val="none" w:sz="0" w:space="0" w:color="auto"/>
        <w:left w:val="none" w:sz="0" w:space="0" w:color="auto"/>
        <w:bottom w:val="none" w:sz="0" w:space="0" w:color="auto"/>
        <w:right w:val="none" w:sz="0" w:space="0" w:color="auto"/>
      </w:divBdr>
      <w:divsChild>
        <w:div w:id="696857204">
          <w:marLeft w:val="0"/>
          <w:marRight w:val="0"/>
          <w:marTop w:val="0"/>
          <w:marBottom w:val="0"/>
          <w:divBdr>
            <w:top w:val="none" w:sz="0" w:space="0" w:color="auto"/>
            <w:left w:val="none" w:sz="0" w:space="0" w:color="auto"/>
            <w:bottom w:val="none" w:sz="0" w:space="0" w:color="auto"/>
            <w:right w:val="none" w:sz="0" w:space="0" w:color="auto"/>
          </w:divBdr>
          <w:divsChild>
            <w:div w:id="318505211">
              <w:marLeft w:val="0"/>
              <w:marRight w:val="0"/>
              <w:marTop w:val="0"/>
              <w:marBottom w:val="0"/>
              <w:divBdr>
                <w:top w:val="none" w:sz="0" w:space="0" w:color="auto"/>
                <w:left w:val="none" w:sz="0" w:space="0" w:color="auto"/>
                <w:bottom w:val="none" w:sz="0" w:space="0" w:color="auto"/>
                <w:right w:val="none" w:sz="0" w:space="0" w:color="auto"/>
              </w:divBdr>
              <w:divsChild>
                <w:div w:id="881552782">
                  <w:marLeft w:val="0"/>
                  <w:marRight w:val="0"/>
                  <w:marTop w:val="0"/>
                  <w:marBottom w:val="0"/>
                  <w:divBdr>
                    <w:top w:val="none" w:sz="0" w:space="0" w:color="auto"/>
                    <w:left w:val="none" w:sz="0" w:space="0" w:color="auto"/>
                    <w:bottom w:val="none" w:sz="0" w:space="0" w:color="auto"/>
                    <w:right w:val="none" w:sz="0" w:space="0" w:color="auto"/>
                  </w:divBdr>
                  <w:divsChild>
                    <w:div w:id="6085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94659">
      <w:bodyDiv w:val="1"/>
      <w:marLeft w:val="0"/>
      <w:marRight w:val="0"/>
      <w:marTop w:val="0"/>
      <w:marBottom w:val="0"/>
      <w:divBdr>
        <w:top w:val="none" w:sz="0" w:space="0" w:color="auto"/>
        <w:left w:val="none" w:sz="0" w:space="0" w:color="auto"/>
        <w:bottom w:val="none" w:sz="0" w:space="0" w:color="auto"/>
        <w:right w:val="none" w:sz="0" w:space="0" w:color="auto"/>
      </w:divBdr>
      <w:divsChild>
        <w:div w:id="479540795">
          <w:marLeft w:val="0"/>
          <w:marRight w:val="0"/>
          <w:marTop w:val="0"/>
          <w:marBottom w:val="0"/>
          <w:divBdr>
            <w:top w:val="none" w:sz="0" w:space="0" w:color="auto"/>
            <w:left w:val="none" w:sz="0" w:space="0" w:color="auto"/>
            <w:bottom w:val="none" w:sz="0" w:space="0" w:color="auto"/>
            <w:right w:val="none" w:sz="0" w:space="0" w:color="auto"/>
          </w:divBdr>
          <w:divsChild>
            <w:div w:id="1162820916">
              <w:marLeft w:val="0"/>
              <w:marRight w:val="0"/>
              <w:marTop w:val="0"/>
              <w:marBottom w:val="0"/>
              <w:divBdr>
                <w:top w:val="none" w:sz="0" w:space="0" w:color="auto"/>
                <w:left w:val="none" w:sz="0" w:space="0" w:color="auto"/>
                <w:bottom w:val="none" w:sz="0" w:space="0" w:color="auto"/>
                <w:right w:val="none" w:sz="0" w:space="0" w:color="auto"/>
              </w:divBdr>
              <w:divsChild>
                <w:div w:id="1165129027">
                  <w:marLeft w:val="0"/>
                  <w:marRight w:val="0"/>
                  <w:marTop w:val="0"/>
                  <w:marBottom w:val="0"/>
                  <w:divBdr>
                    <w:top w:val="none" w:sz="0" w:space="0" w:color="auto"/>
                    <w:left w:val="none" w:sz="0" w:space="0" w:color="auto"/>
                    <w:bottom w:val="none" w:sz="0" w:space="0" w:color="auto"/>
                    <w:right w:val="none" w:sz="0" w:space="0" w:color="auto"/>
                  </w:divBdr>
                  <w:divsChild>
                    <w:div w:id="37706246">
                      <w:marLeft w:val="0"/>
                      <w:marRight w:val="0"/>
                      <w:marTop w:val="0"/>
                      <w:marBottom w:val="0"/>
                      <w:divBdr>
                        <w:top w:val="none" w:sz="0" w:space="0" w:color="auto"/>
                        <w:left w:val="none" w:sz="0" w:space="0" w:color="auto"/>
                        <w:bottom w:val="none" w:sz="0" w:space="0" w:color="auto"/>
                        <w:right w:val="none" w:sz="0" w:space="0" w:color="auto"/>
                      </w:divBdr>
                      <w:divsChild>
                        <w:div w:id="18296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2022-05-07T01:30:00Z</cp:lastPrinted>
  <dcterms:created xsi:type="dcterms:W3CDTF">2022-05-07T01:09:00Z</dcterms:created>
  <dcterms:modified xsi:type="dcterms:W3CDTF">2022-05-07T01:30:00Z</dcterms:modified>
</cp:coreProperties>
</file>